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99175" w14:textId="1010C03A" w:rsidR="002B1C93" w:rsidRPr="002D4500" w:rsidRDefault="00B93F85" w:rsidP="002B1C93">
      <w:pPr>
        <w:pStyle w:val="NormalWeb"/>
        <w:rPr>
          <w:rStyle w:val="Strong"/>
          <w:rFonts w:ascii="Roboto" w:eastAsiaTheme="majorEastAsia" w:hAnsi="Roboto"/>
          <w:color w:val="000000" w:themeColor="text1"/>
        </w:rPr>
      </w:pPr>
      <w:r>
        <w:rPr>
          <w:noProof/>
        </w:rPr>
        <w:drawing>
          <wp:anchor distT="0" distB="0" distL="114300" distR="114300" simplePos="0" relativeHeight="251665408" behindDoc="0" locked="0" layoutInCell="1" allowOverlap="1" wp14:anchorId="6DAB37BA" wp14:editId="62382A1D">
            <wp:simplePos x="0" y="0"/>
            <wp:positionH relativeFrom="margin">
              <wp:posOffset>2540</wp:posOffset>
            </wp:positionH>
            <wp:positionV relativeFrom="margin">
              <wp:posOffset>-723900</wp:posOffset>
            </wp:positionV>
            <wp:extent cx="5943600" cy="817043"/>
            <wp:effectExtent l="0" t="0" r="0" b="0"/>
            <wp:wrapSquare wrapText="bothSides"/>
            <wp:docPr id="772619353" name="Picture 2" descr="A close up of a d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19353" name="Picture 2" descr="A close up of a d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817043"/>
                    </a:xfrm>
                    <a:prstGeom prst="rect">
                      <a:avLst/>
                    </a:prstGeom>
                  </pic:spPr>
                </pic:pic>
              </a:graphicData>
            </a:graphic>
          </wp:anchor>
        </w:drawing>
      </w:r>
    </w:p>
    <w:p w14:paraId="7596BB73" w14:textId="42CC99EB" w:rsidR="002B1C93" w:rsidRPr="002D4500" w:rsidRDefault="002B1C93" w:rsidP="002B1C93">
      <w:pPr>
        <w:pStyle w:val="NormalWeb"/>
        <w:rPr>
          <w:rFonts w:ascii="Roboto" w:hAnsi="Roboto"/>
          <w:b/>
          <w:bCs/>
          <w:color w:val="000000" w:themeColor="text1"/>
        </w:rPr>
      </w:pPr>
      <w:r w:rsidRPr="002D4500">
        <w:rPr>
          <w:rStyle w:val="Strong"/>
          <w:rFonts w:ascii="Roboto" w:eastAsiaTheme="majorEastAsia" w:hAnsi="Roboto"/>
          <w:b w:val="0"/>
          <w:bCs w:val="0"/>
          <w:color w:val="000000" w:themeColor="text1"/>
        </w:rPr>
        <w:t>Date __________________</w:t>
      </w:r>
    </w:p>
    <w:p w14:paraId="702D3221" w14:textId="4B4BAE57" w:rsidR="002B1C93" w:rsidRPr="002D4500" w:rsidRDefault="002B1C93" w:rsidP="002B1C93">
      <w:pPr>
        <w:pStyle w:val="NormalWeb"/>
        <w:rPr>
          <w:rFonts w:ascii="Roboto" w:hAnsi="Roboto"/>
          <w:b/>
          <w:bCs/>
          <w:color w:val="000000" w:themeColor="text1"/>
        </w:rPr>
      </w:pPr>
      <w:r w:rsidRPr="002D4500">
        <w:rPr>
          <w:rStyle w:val="Strong"/>
          <w:rFonts w:ascii="Roboto" w:eastAsiaTheme="majorEastAsia" w:hAnsi="Roboto"/>
          <w:b w:val="0"/>
          <w:bCs w:val="0"/>
          <w:color w:val="000000" w:themeColor="text1"/>
        </w:rPr>
        <w:t>Dear ___________________</w:t>
      </w:r>
      <w:r w:rsidRPr="002D4500">
        <w:rPr>
          <w:rFonts w:ascii="Roboto" w:hAnsi="Roboto"/>
          <w:b/>
          <w:bCs/>
          <w:color w:val="000000" w:themeColor="text1"/>
        </w:rPr>
        <w:t>,</w:t>
      </w:r>
    </w:p>
    <w:p w14:paraId="71933ECE" w14:textId="24F899B3" w:rsidR="00EB65AB" w:rsidRPr="002D4500" w:rsidRDefault="00EB65AB">
      <w:pPr>
        <w:rPr>
          <w:rFonts w:ascii="Roboto" w:hAnsi="Roboto"/>
          <w:color w:val="000000" w:themeColor="text1"/>
        </w:rPr>
      </w:pPr>
      <w:r w:rsidRPr="002D4500">
        <w:rPr>
          <w:rFonts w:ascii="Roboto" w:hAnsi="Roboto"/>
          <w:color w:val="000000" w:themeColor="text1"/>
        </w:rPr>
        <w:t xml:space="preserve">I would like to attend the 2025 ESCA Summer Educational Conference, to be held in Coeur d’Alene, Idaho June 29 – July 2, 2025. </w:t>
      </w:r>
    </w:p>
    <w:p w14:paraId="1AF83E7E" w14:textId="2B5AACA6" w:rsidR="00041405" w:rsidRPr="002D4500" w:rsidRDefault="00041405">
      <w:pPr>
        <w:rPr>
          <w:rFonts w:ascii="Roboto" w:hAnsi="Roboto"/>
          <w:color w:val="000000" w:themeColor="text1"/>
        </w:rPr>
      </w:pPr>
      <w:r w:rsidRPr="002D4500">
        <w:rPr>
          <w:rFonts w:ascii="Roboto" w:hAnsi="Roboto"/>
          <w:color w:val="000000" w:themeColor="text1"/>
        </w:rPr>
        <w:t xml:space="preserve">In our highly interconnected live events and exhibition industry, </w:t>
      </w:r>
      <w:r w:rsidR="00055A71">
        <w:rPr>
          <w:rFonts w:ascii="Roboto" w:hAnsi="Roboto"/>
          <w:color w:val="000000" w:themeColor="text1"/>
        </w:rPr>
        <w:t>it is crucial to build and maintain relationships a</w:t>
      </w:r>
      <w:r w:rsidR="00055A71" w:rsidRPr="00055A71">
        <w:rPr>
          <w:rFonts w:ascii="Roboto" w:hAnsi="Roboto"/>
          <w:color w:val="000000" w:themeColor="text1"/>
        </w:rPr>
        <w:t>s well as stay updated on the latest industry trends to expand our reach and sustain our current avenues.</w:t>
      </w:r>
      <w:r w:rsidR="00055A71">
        <w:rPr>
          <w:rFonts w:ascii="Roboto" w:hAnsi="Roboto"/>
          <w:color w:val="000000" w:themeColor="text1"/>
        </w:rPr>
        <w:t xml:space="preserve"> </w:t>
      </w:r>
      <w:r w:rsidR="00D171F8" w:rsidRPr="002D4500">
        <w:rPr>
          <w:rFonts w:ascii="Roboto" w:hAnsi="Roboto"/>
          <w:color w:val="000000" w:themeColor="text1"/>
        </w:rPr>
        <w:t xml:space="preserve">The ESCA Summer Educational Conference presents the opportunity to strengthen our connection with industry peers, stay informed on emerging trends, and reinforce our presence among both current and potential clients. </w:t>
      </w:r>
    </w:p>
    <w:p w14:paraId="2DD2D1D6" w14:textId="0C2C8A13" w:rsidR="00D171F8" w:rsidRPr="002D4500" w:rsidRDefault="00D171F8">
      <w:pPr>
        <w:rPr>
          <w:rFonts w:ascii="Roboto" w:hAnsi="Roboto"/>
          <w:color w:val="000000" w:themeColor="text1"/>
        </w:rPr>
      </w:pPr>
      <w:r w:rsidRPr="002D4500">
        <w:rPr>
          <w:rFonts w:ascii="Roboto" w:hAnsi="Roboto"/>
          <w:color w:val="000000" w:themeColor="text1"/>
        </w:rPr>
        <w:t>Outlined below are key reasons why attending the ESCA Summer Educational Conference is essential for our continued business success:</w:t>
      </w:r>
    </w:p>
    <w:p w14:paraId="27ADF688" w14:textId="534D045C" w:rsidR="00D171F8" w:rsidRPr="002D4500" w:rsidRDefault="00D171F8"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Networking Opportunities: ESCA offers unparalleled opportunities to connect with industry experts and potential clients. Engaging with peers in this setting can lead to collaborations, partnerships, and new business opportunities. Establishing these connections will enhance our visibility and credibility within the industry. </w:t>
      </w:r>
    </w:p>
    <w:p w14:paraId="2784B576" w14:textId="1E348E33" w:rsidR="00D171F8" w:rsidRPr="002D4500" w:rsidRDefault="00D171F8"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Educational Value: The conference will feature thought leaders and top industry professionals who will share valuable insights on the current state of the industry and trends </w:t>
      </w:r>
      <w:r w:rsidR="00BF78E8">
        <w:rPr>
          <w:rFonts w:ascii="Roboto" w:hAnsi="Roboto"/>
          <w:color w:val="000000" w:themeColor="text1"/>
        </w:rPr>
        <w:t>on where it is headed</w:t>
      </w:r>
      <w:r w:rsidR="006C0005">
        <w:rPr>
          <w:rFonts w:ascii="Roboto" w:hAnsi="Roboto"/>
          <w:color w:val="000000" w:themeColor="text1"/>
        </w:rPr>
        <w:t xml:space="preserve">. </w:t>
      </w:r>
      <w:r w:rsidR="00123C6B">
        <w:rPr>
          <w:rFonts w:ascii="Roboto" w:hAnsi="Roboto"/>
          <w:color w:val="000000" w:themeColor="text1"/>
        </w:rPr>
        <w:t xml:space="preserve">This education will </w:t>
      </w:r>
      <w:r w:rsidR="002B1C93" w:rsidRPr="002D4500">
        <w:rPr>
          <w:rFonts w:ascii="Roboto" w:hAnsi="Roboto"/>
          <w:color w:val="000000" w:themeColor="text1"/>
        </w:rPr>
        <w:t>provid</w:t>
      </w:r>
      <w:r w:rsidR="006C0005">
        <w:rPr>
          <w:rFonts w:ascii="Roboto" w:hAnsi="Roboto"/>
          <w:color w:val="000000" w:themeColor="text1"/>
        </w:rPr>
        <w:t>e</w:t>
      </w:r>
      <w:r w:rsidR="00123C6B">
        <w:rPr>
          <w:rFonts w:ascii="Roboto" w:hAnsi="Roboto"/>
          <w:color w:val="000000" w:themeColor="text1"/>
        </w:rPr>
        <w:t xml:space="preserve"> u</w:t>
      </w:r>
      <w:r w:rsidR="002B1C93" w:rsidRPr="002D4500">
        <w:rPr>
          <w:rFonts w:ascii="Roboto" w:hAnsi="Roboto"/>
          <w:color w:val="000000" w:themeColor="text1"/>
        </w:rPr>
        <w:t xml:space="preserve">s </w:t>
      </w:r>
      <w:r w:rsidR="00123C6B">
        <w:rPr>
          <w:rFonts w:ascii="Roboto" w:hAnsi="Roboto"/>
          <w:color w:val="000000" w:themeColor="text1"/>
        </w:rPr>
        <w:t xml:space="preserve">with </w:t>
      </w:r>
      <w:r w:rsidR="002B1C93" w:rsidRPr="002D4500">
        <w:rPr>
          <w:rFonts w:ascii="Roboto" w:hAnsi="Roboto"/>
          <w:color w:val="000000" w:themeColor="text1"/>
        </w:rPr>
        <w:t xml:space="preserve">actionable knowledge to apply directly to our business. </w:t>
      </w:r>
    </w:p>
    <w:p w14:paraId="011B11C2" w14:textId="5EA83E5C" w:rsidR="002B1C93" w:rsidRPr="002D4500" w:rsidRDefault="002B1C9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Enrichment Activities: The learning and networking offerings extend beyond the sessions, as ESCA focuses on creating natural opportunities for peer-to-peer discussions during the afternoon enrichment activities. </w:t>
      </w:r>
    </w:p>
    <w:p w14:paraId="1599827D" w14:textId="3104EBB8" w:rsidR="003210B3" w:rsidRPr="002D4500" w:rsidRDefault="003210B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Innovation: ESCA’s show floor allows for meaningful engagement with exhibitors, providing access to the latest industry trends and innovation. This setting opens doors to new connections and potential partnerships that could drive our business forward. </w:t>
      </w:r>
    </w:p>
    <w:p w14:paraId="6B879243" w14:textId="58F5F0F4" w:rsidR="003210B3" w:rsidRPr="002D4500" w:rsidRDefault="003210B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Advocacy Efforts: As ESCA aims to drive positive change in the industry, my representation will allow us to contribute our perspectives and stay informed about collaborative efforts that can benefit our business and the industry. </w:t>
      </w:r>
    </w:p>
    <w:p w14:paraId="55480E52" w14:textId="43922E5A" w:rsidR="002D4500" w:rsidRPr="002D4500" w:rsidRDefault="002D4500" w:rsidP="002D4500">
      <w:pPr>
        <w:pStyle w:val="NormalWeb"/>
        <w:shd w:val="clear" w:color="auto" w:fill="FFFFFF" w:themeFill="background1"/>
        <w:spacing w:before="0" w:beforeAutospacing="0" w:after="0" w:afterAutospacing="0"/>
        <w:rPr>
          <w:rFonts w:ascii="Roboto" w:hAnsi="Roboto" w:cs="Helvetica"/>
          <w:color w:val="000000" w:themeColor="text1"/>
        </w:rPr>
      </w:pPr>
      <w:r w:rsidRPr="002D4500">
        <w:rPr>
          <w:rFonts w:ascii="Roboto" w:hAnsi="Roboto" w:cs="Helvetica"/>
          <w:color w:val="000000" w:themeColor="text1"/>
        </w:rPr>
        <w:t xml:space="preserve">I am seeking approval for registration fees, travel expenses to the conference, and hotel accommodations during the event. A detailed cost breakdown is included below. </w:t>
      </w:r>
    </w:p>
    <w:p w14:paraId="3E4DA23D" w14:textId="77777777" w:rsidR="002D4500" w:rsidRPr="002D4500" w:rsidRDefault="002D4500" w:rsidP="002D4500">
      <w:pPr>
        <w:pStyle w:val="NormalWeb"/>
        <w:shd w:val="clear" w:color="auto" w:fill="FFFFFF" w:themeFill="background1"/>
        <w:spacing w:before="0" w:beforeAutospacing="0" w:after="0" w:afterAutospacing="0"/>
        <w:rPr>
          <w:rFonts w:ascii="Roboto" w:hAnsi="Roboto" w:cs="Helvetica"/>
          <w:color w:val="000000" w:themeColor="text1"/>
        </w:rPr>
      </w:pPr>
    </w:p>
    <w:p w14:paraId="7B1CE7DF" w14:textId="77777777" w:rsidR="006D513E" w:rsidRDefault="006D513E" w:rsidP="002D4500">
      <w:pPr>
        <w:pStyle w:val="NormalWeb"/>
        <w:shd w:val="clear" w:color="auto" w:fill="FFFFFF" w:themeFill="background1"/>
        <w:spacing w:before="0" w:beforeAutospacing="0" w:after="0" w:afterAutospacing="0"/>
        <w:rPr>
          <w:rFonts w:ascii="Roboto" w:hAnsi="Roboto" w:cs="Helvetica"/>
          <w:color w:val="000000" w:themeColor="text1"/>
        </w:rPr>
      </w:pPr>
    </w:p>
    <w:tbl>
      <w:tblPr>
        <w:tblStyle w:val="TableGrid"/>
        <w:tblW w:w="0" w:type="auto"/>
        <w:tblLook w:val="04A0" w:firstRow="1" w:lastRow="0" w:firstColumn="1" w:lastColumn="0" w:noHBand="0" w:noVBand="1"/>
      </w:tblPr>
      <w:tblGrid>
        <w:gridCol w:w="5845"/>
        <w:gridCol w:w="3505"/>
      </w:tblGrid>
      <w:tr w:rsidR="00B93F85" w14:paraId="092BB9B8" w14:textId="77777777" w:rsidTr="000C7C7F">
        <w:tc>
          <w:tcPr>
            <w:tcW w:w="5845" w:type="dxa"/>
          </w:tcPr>
          <w:p w14:paraId="5E7C1F64" w14:textId="77777777" w:rsidR="00B93F85" w:rsidRDefault="00B93F85" w:rsidP="000C7C7F">
            <w:pPr>
              <w:pStyle w:val="NormalWeb"/>
              <w:rPr>
                <w:rFonts w:ascii="Roboto" w:hAnsi="Roboto"/>
              </w:rPr>
            </w:pPr>
            <w:r>
              <w:rPr>
                <w:rFonts w:ascii="Roboto" w:hAnsi="Roboto"/>
              </w:rPr>
              <w:t xml:space="preserve">Registration Fee </w:t>
            </w:r>
          </w:p>
        </w:tc>
        <w:tc>
          <w:tcPr>
            <w:tcW w:w="3505" w:type="dxa"/>
          </w:tcPr>
          <w:p w14:paraId="5ACD1857" w14:textId="77777777" w:rsidR="00B93F85" w:rsidRDefault="00B93F85" w:rsidP="000C7C7F">
            <w:pPr>
              <w:pStyle w:val="NormalWeb"/>
              <w:rPr>
                <w:rFonts w:ascii="Roboto" w:hAnsi="Roboto"/>
              </w:rPr>
            </w:pPr>
            <w:r>
              <w:rPr>
                <w:rFonts w:ascii="Roboto" w:hAnsi="Roboto"/>
              </w:rPr>
              <w:t>$</w:t>
            </w:r>
          </w:p>
        </w:tc>
      </w:tr>
      <w:tr w:rsidR="00B93F85" w14:paraId="40DCE6D2" w14:textId="77777777" w:rsidTr="000C7C7F">
        <w:tc>
          <w:tcPr>
            <w:tcW w:w="5845" w:type="dxa"/>
          </w:tcPr>
          <w:p w14:paraId="6D8081D6" w14:textId="77777777" w:rsidR="00B93F85" w:rsidRDefault="00B93F85" w:rsidP="000C7C7F">
            <w:pPr>
              <w:pStyle w:val="NormalWeb"/>
              <w:rPr>
                <w:rFonts w:ascii="Roboto" w:hAnsi="Roboto"/>
              </w:rPr>
            </w:pPr>
            <w:r>
              <w:rPr>
                <w:rFonts w:ascii="Roboto" w:hAnsi="Roboto"/>
              </w:rPr>
              <w:t>Hotel</w:t>
            </w:r>
          </w:p>
        </w:tc>
        <w:tc>
          <w:tcPr>
            <w:tcW w:w="3505" w:type="dxa"/>
          </w:tcPr>
          <w:p w14:paraId="7601DF35" w14:textId="77777777" w:rsidR="00B93F85" w:rsidRDefault="00B93F85" w:rsidP="000C7C7F">
            <w:pPr>
              <w:pStyle w:val="NormalWeb"/>
              <w:rPr>
                <w:rFonts w:ascii="Roboto" w:hAnsi="Roboto"/>
              </w:rPr>
            </w:pPr>
            <w:r>
              <w:rPr>
                <w:rFonts w:ascii="Roboto" w:hAnsi="Roboto"/>
              </w:rPr>
              <w:t>$</w:t>
            </w:r>
          </w:p>
        </w:tc>
      </w:tr>
      <w:tr w:rsidR="00B93F85" w14:paraId="47EDCEDF" w14:textId="77777777" w:rsidTr="000C7C7F">
        <w:tc>
          <w:tcPr>
            <w:tcW w:w="5845" w:type="dxa"/>
          </w:tcPr>
          <w:p w14:paraId="758FD5C9" w14:textId="77777777" w:rsidR="00B93F85" w:rsidRDefault="00B93F85" w:rsidP="000C7C7F">
            <w:pPr>
              <w:pStyle w:val="NormalWeb"/>
              <w:rPr>
                <w:rFonts w:ascii="Roboto" w:hAnsi="Roboto"/>
              </w:rPr>
            </w:pPr>
            <w:r>
              <w:rPr>
                <w:rFonts w:ascii="Roboto" w:hAnsi="Roboto"/>
              </w:rPr>
              <w:t>Airfare</w:t>
            </w:r>
          </w:p>
        </w:tc>
        <w:tc>
          <w:tcPr>
            <w:tcW w:w="3505" w:type="dxa"/>
          </w:tcPr>
          <w:p w14:paraId="2A097582" w14:textId="77777777" w:rsidR="00B93F85" w:rsidRDefault="00B93F85" w:rsidP="000C7C7F">
            <w:pPr>
              <w:pStyle w:val="NormalWeb"/>
              <w:rPr>
                <w:rFonts w:ascii="Roboto" w:hAnsi="Roboto"/>
              </w:rPr>
            </w:pPr>
            <w:r>
              <w:rPr>
                <w:rFonts w:ascii="Roboto" w:hAnsi="Roboto"/>
              </w:rPr>
              <w:t>$</w:t>
            </w:r>
          </w:p>
        </w:tc>
      </w:tr>
      <w:tr w:rsidR="00B93F85" w14:paraId="0C749E78" w14:textId="77777777" w:rsidTr="000C7C7F">
        <w:tc>
          <w:tcPr>
            <w:tcW w:w="5845" w:type="dxa"/>
          </w:tcPr>
          <w:p w14:paraId="09262844" w14:textId="77777777" w:rsidR="00B93F85" w:rsidRDefault="00B93F85" w:rsidP="000C7C7F">
            <w:pPr>
              <w:pStyle w:val="NormalWeb"/>
              <w:rPr>
                <w:rFonts w:ascii="Roboto" w:hAnsi="Roboto"/>
              </w:rPr>
            </w:pPr>
            <w:r>
              <w:rPr>
                <w:rFonts w:ascii="Roboto" w:hAnsi="Roboto"/>
              </w:rPr>
              <w:t>Transportation</w:t>
            </w:r>
          </w:p>
        </w:tc>
        <w:tc>
          <w:tcPr>
            <w:tcW w:w="3505" w:type="dxa"/>
          </w:tcPr>
          <w:p w14:paraId="17E377B8" w14:textId="77777777" w:rsidR="00B93F85" w:rsidRDefault="00B93F85" w:rsidP="000C7C7F">
            <w:pPr>
              <w:pStyle w:val="NormalWeb"/>
              <w:rPr>
                <w:rFonts w:ascii="Roboto" w:hAnsi="Roboto"/>
              </w:rPr>
            </w:pPr>
            <w:r>
              <w:rPr>
                <w:rFonts w:ascii="Roboto" w:hAnsi="Roboto"/>
              </w:rPr>
              <w:t>$</w:t>
            </w:r>
          </w:p>
        </w:tc>
      </w:tr>
      <w:tr w:rsidR="00B93F85" w14:paraId="0B07B115" w14:textId="77777777" w:rsidTr="000C7C7F">
        <w:tc>
          <w:tcPr>
            <w:tcW w:w="5845" w:type="dxa"/>
          </w:tcPr>
          <w:p w14:paraId="70F02627" w14:textId="77777777" w:rsidR="00B93F85" w:rsidRDefault="00B93F85" w:rsidP="000C7C7F">
            <w:pPr>
              <w:pStyle w:val="NormalWeb"/>
              <w:rPr>
                <w:rFonts w:ascii="Roboto" w:hAnsi="Roboto"/>
              </w:rPr>
            </w:pPr>
            <w:r>
              <w:rPr>
                <w:rFonts w:ascii="Roboto" w:hAnsi="Roboto"/>
              </w:rPr>
              <w:t>Other (Meals, Per Diem, Etc.)</w:t>
            </w:r>
          </w:p>
        </w:tc>
        <w:tc>
          <w:tcPr>
            <w:tcW w:w="3505" w:type="dxa"/>
          </w:tcPr>
          <w:p w14:paraId="47F487B9" w14:textId="77777777" w:rsidR="00B93F85" w:rsidRDefault="00B93F85" w:rsidP="000C7C7F">
            <w:pPr>
              <w:pStyle w:val="NormalWeb"/>
              <w:rPr>
                <w:rFonts w:ascii="Roboto" w:hAnsi="Roboto"/>
              </w:rPr>
            </w:pPr>
            <w:r>
              <w:rPr>
                <w:rFonts w:ascii="Roboto" w:hAnsi="Roboto"/>
              </w:rPr>
              <w:t>$</w:t>
            </w:r>
          </w:p>
        </w:tc>
      </w:tr>
      <w:tr w:rsidR="00B93F85" w14:paraId="1A684557" w14:textId="77777777" w:rsidTr="000C7C7F">
        <w:tc>
          <w:tcPr>
            <w:tcW w:w="5845" w:type="dxa"/>
          </w:tcPr>
          <w:p w14:paraId="4121232F" w14:textId="77777777" w:rsidR="00B93F85" w:rsidRDefault="00B93F85" w:rsidP="000C7C7F">
            <w:pPr>
              <w:pStyle w:val="NormalWeb"/>
              <w:rPr>
                <w:rFonts w:ascii="Roboto" w:hAnsi="Roboto"/>
              </w:rPr>
            </w:pPr>
            <w:r>
              <w:rPr>
                <w:rFonts w:ascii="Roboto" w:hAnsi="Roboto"/>
              </w:rPr>
              <w:t xml:space="preserve">Total Cost of ESCA Summer Educational Conference </w:t>
            </w:r>
          </w:p>
        </w:tc>
        <w:tc>
          <w:tcPr>
            <w:tcW w:w="3505" w:type="dxa"/>
          </w:tcPr>
          <w:p w14:paraId="2F4F9087" w14:textId="77777777" w:rsidR="00B93F85" w:rsidRDefault="00B93F85" w:rsidP="000C7C7F">
            <w:pPr>
              <w:pStyle w:val="NormalWeb"/>
              <w:rPr>
                <w:rFonts w:ascii="Roboto" w:hAnsi="Roboto"/>
              </w:rPr>
            </w:pPr>
            <w:r>
              <w:rPr>
                <w:rFonts w:ascii="Roboto" w:hAnsi="Roboto"/>
              </w:rPr>
              <w:t>$</w:t>
            </w:r>
          </w:p>
        </w:tc>
      </w:tr>
    </w:tbl>
    <w:p w14:paraId="21D7BBCC" w14:textId="4596DDCD" w:rsidR="003210B3" w:rsidRPr="002D4500" w:rsidRDefault="002D4500" w:rsidP="002D4500">
      <w:pPr>
        <w:pStyle w:val="NormalWeb"/>
        <w:shd w:val="clear" w:color="auto" w:fill="FFFFFF"/>
        <w:spacing w:before="0" w:beforeAutospacing="0" w:after="0" w:afterAutospacing="0"/>
        <w:rPr>
          <w:rFonts w:ascii="Roboto" w:hAnsi="Roboto" w:cs="Helvetica"/>
          <w:color w:val="000000" w:themeColor="text1"/>
        </w:rPr>
      </w:pPr>
      <w:r w:rsidRPr="002D4500">
        <w:rPr>
          <w:rFonts w:ascii="Roboto" w:hAnsi="Roboto"/>
          <w:noProof/>
          <w:color w:val="000000" w:themeColor="text1"/>
        </w:rPr>
        <mc:AlternateContent>
          <mc:Choice Requires="wps">
            <w:drawing>
              <wp:anchor distT="0" distB="0" distL="114300" distR="114300" simplePos="0" relativeHeight="251664384" behindDoc="0" locked="0" layoutInCell="1" allowOverlap="1" wp14:anchorId="63E50E07" wp14:editId="6557FDF4">
                <wp:simplePos x="0" y="0"/>
                <wp:positionH relativeFrom="column">
                  <wp:posOffset>3101340</wp:posOffset>
                </wp:positionH>
                <wp:positionV relativeFrom="paragraph">
                  <wp:posOffset>158115</wp:posOffset>
                </wp:positionV>
                <wp:extent cx="723900" cy="0"/>
                <wp:effectExtent l="0" t="0" r="0" b="0"/>
                <wp:wrapNone/>
                <wp:docPr id="1296955602"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6ECD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4.2pt,12.45pt" to="301.2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" strokecolor="black [3213]">
                <v:stroke joinstyle="miter"/>
              </v:line>
            </w:pict>
          </mc:Fallback>
        </mc:AlternateContent>
      </w:r>
    </w:p>
    <w:p w14:paraId="72B69322" w14:textId="6FE92E30" w:rsidR="003210B3" w:rsidRPr="002D4500" w:rsidRDefault="003210B3" w:rsidP="003210B3">
      <w:pPr>
        <w:rPr>
          <w:rFonts w:ascii="Roboto" w:hAnsi="Roboto"/>
          <w:color w:val="000000" w:themeColor="text1"/>
        </w:rPr>
      </w:pPr>
      <w:r w:rsidRPr="002D4500">
        <w:rPr>
          <w:rFonts w:ascii="Roboto" w:hAnsi="Roboto"/>
          <w:color w:val="000000" w:themeColor="text1"/>
        </w:rPr>
        <w:t xml:space="preserve">While attending the conference represents a significant investment, I am confident that the benefits outweigh the costs. </w:t>
      </w:r>
      <w:r w:rsidR="002D4500" w:rsidRPr="002D4500">
        <w:rPr>
          <w:rFonts w:ascii="Roboto" w:hAnsi="Roboto"/>
          <w:color w:val="000000" w:themeColor="text1"/>
        </w:rPr>
        <w:t xml:space="preserve">Upon my return from the ESCA Summer Educational Conference, I will </w:t>
      </w:r>
      <w:r w:rsidR="0094525C">
        <w:rPr>
          <w:rFonts w:ascii="Roboto" w:hAnsi="Roboto"/>
          <w:color w:val="000000" w:themeColor="text1"/>
        </w:rPr>
        <w:t xml:space="preserve">provide a </w:t>
      </w:r>
      <w:r w:rsidR="002D4500" w:rsidRPr="002D4500">
        <w:rPr>
          <w:rFonts w:ascii="Roboto" w:hAnsi="Roboto"/>
          <w:color w:val="000000" w:themeColor="text1"/>
        </w:rPr>
        <w:t xml:space="preserve">report how I will apply my newfound knowledge and connections to contribute to our company’s long-term growth, competitiveness, and industry recognition. </w:t>
      </w:r>
    </w:p>
    <w:p w14:paraId="2681BAA7" w14:textId="2396ACBB" w:rsidR="003210B3" w:rsidRPr="002D4500" w:rsidRDefault="003210B3" w:rsidP="003210B3">
      <w:pPr>
        <w:rPr>
          <w:rFonts w:ascii="Roboto" w:hAnsi="Roboto"/>
          <w:color w:val="000000" w:themeColor="text1"/>
        </w:rPr>
      </w:pPr>
      <w:r w:rsidRPr="002D4500">
        <w:rPr>
          <w:rFonts w:ascii="Roboto" w:hAnsi="Roboto"/>
          <w:color w:val="000000" w:themeColor="text1"/>
        </w:rPr>
        <w:t xml:space="preserve">Thank you for considering my request. I am looking forward to the possibility of representing our company at this important industry event. </w:t>
      </w:r>
    </w:p>
    <w:p w14:paraId="4B6CD414" w14:textId="77777777" w:rsidR="003210B3" w:rsidRPr="002D4500" w:rsidRDefault="003210B3" w:rsidP="003210B3">
      <w:pPr>
        <w:spacing w:after="0" w:line="240" w:lineRule="auto"/>
        <w:rPr>
          <w:rFonts w:ascii="Roboto" w:hAnsi="Roboto" w:cs="Arial"/>
          <w:color w:val="000000" w:themeColor="text1"/>
        </w:rPr>
      </w:pPr>
      <w:r w:rsidRPr="002D4500">
        <w:rPr>
          <w:rFonts w:ascii="Roboto" w:hAnsi="Roboto" w:cs="Arial"/>
          <w:color w:val="000000" w:themeColor="text1"/>
        </w:rPr>
        <w:t xml:space="preserve">Sincerely, </w:t>
      </w:r>
    </w:p>
    <w:p w14:paraId="6B698DAB" w14:textId="77777777" w:rsidR="003210B3" w:rsidRPr="003210B3" w:rsidRDefault="003210B3" w:rsidP="003210B3">
      <w:pPr>
        <w:rPr>
          <w:rFonts w:ascii="Roboto" w:hAnsi="Roboto"/>
        </w:rPr>
      </w:pPr>
    </w:p>
    <w:p w14:paraId="18B1EFE3" w14:textId="77777777" w:rsidR="00D171F8" w:rsidRPr="002B1C93" w:rsidRDefault="00D171F8">
      <w:pPr>
        <w:rPr>
          <w:rFonts w:ascii="Roboto" w:hAnsi="Roboto"/>
        </w:rPr>
      </w:pPr>
    </w:p>
    <w:p w14:paraId="60CD583E" w14:textId="762C58B1" w:rsidR="00041405" w:rsidRPr="002B1C93" w:rsidRDefault="00041405" w:rsidP="00041405">
      <w:pPr>
        <w:rPr>
          <w:rFonts w:ascii="Roboto" w:hAnsi="Roboto"/>
        </w:rPr>
      </w:pPr>
      <w:r w:rsidRPr="002B1C93">
        <w:rPr>
          <w:rFonts w:ascii="Roboto" w:hAnsi="Roboto"/>
        </w:rPr>
        <w:t xml:space="preserve"> </w:t>
      </w:r>
    </w:p>
    <w:sectPr w:rsidR="00041405" w:rsidRPr="002B1C93" w:rsidSect="006D513E">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D87C" w14:textId="77777777" w:rsidR="00BC31C7" w:rsidRDefault="00BC31C7" w:rsidP="00D171F8">
      <w:pPr>
        <w:spacing w:after="0" w:line="240" w:lineRule="auto"/>
      </w:pPr>
      <w:r>
        <w:separator/>
      </w:r>
    </w:p>
  </w:endnote>
  <w:endnote w:type="continuationSeparator" w:id="0">
    <w:p w14:paraId="5D03C16B" w14:textId="77777777" w:rsidR="00BC31C7" w:rsidRDefault="00BC31C7" w:rsidP="00D1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A4E23" w14:textId="77777777" w:rsidR="00BC31C7" w:rsidRDefault="00BC31C7" w:rsidP="00D171F8">
      <w:pPr>
        <w:spacing w:after="0" w:line="240" w:lineRule="auto"/>
      </w:pPr>
      <w:r>
        <w:separator/>
      </w:r>
    </w:p>
  </w:footnote>
  <w:footnote w:type="continuationSeparator" w:id="0">
    <w:p w14:paraId="0A24CE06" w14:textId="77777777" w:rsidR="00BC31C7" w:rsidRDefault="00BC31C7" w:rsidP="00D1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60A2" w14:textId="3F8C9A85" w:rsidR="00D171F8" w:rsidRDefault="00D171F8" w:rsidP="002B1C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7ECC"/>
    <w:multiLevelType w:val="hybridMultilevel"/>
    <w:tmpl w:val="9E4A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56935"/>
    <w:multiLevelType w:val="hybridMultilevel"/>
    <w:tmpl w:val="D89A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812574">
    <w:abstractNumId w:val="0"/>
  </w:num>
  <w:num w:numId="2" w16cid:durableId="130110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AB"/>
    <w:rsid w:val="00041405"/>
    <w:rsid w:val="00055A71"/>
    <w:rsid w:val="00123C6B"/>
    <w:rsid w:val="002B1C93"/>
    <w:rsid w:val="002D4500"/>
    <w:rsid w:val="003210B3"/>
    <w:rsid w:val="003D7532"/>
    <w:rsid w:val="006C0005"/>
    <w:rsid w:val="006D0172"/>
    <w:rsid w:val="006D513E"/>
    <w:rsid w:val="007E4EBD"/>
    <w:rsid w:val="0094525C"/>
    <w:rsid w:val="00B93F85"/>
    <w:rsid w:val="00BC31C7"/>
    <w:rsid w:val="00BF78E8"/>
    <w:rsid w:val="00D171F8"/>
    <w:rsid w:val="00E2470E"/>
    <w:rsid w:val="00EB65AB"/>
    <w:rsid w:val="00F4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BFF1"/>
  <w15:chartTrackingRefBased/>
  <w15:docId w15:val="{3C6F922F-E3DA-1A4D-AEE0-84554E0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5AB"/>
    <w:rPr>
      <w:rFonts w:eastAsiaTheme="majorEastAsia" w:cstheme="majorBidi"/>
      <w:color w:val="272727" w:themeColor="text1" w:themeTint="D8"/>
    </w:rPr>
  </w:style>
  <w:style w:type="paragraph" w:styleId="Title">
    <w:name w:val="Title"/>
    <w:basedOn w:val="Normal"/>
    <w:next w:val="Normal"/>
    <w:link w:val="TitleChar"/>
    <w:uiPriority w:val="10"/>
    <w:qFormat/>
    <w:rsid w:val="00EB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5AB"/>
    <w:pPr>
      <w:spacing w:before="160"/>
      <w:jc w:val="center"/>
    </w:pPr>
    <w:rPr>
      <w:i/>
      <w:iCs/>
      <w:color w:val="404040" w:themeColor="text1" w:themeTint="BF"/>
    </w:rPr>
  </w:style>
  <w:style w:type="character" w:customStyle="1" w:styleId="QuoteChar">
    <w:name w:val="Quote Char"/>
    <w:basedOn w:val="DefaultParagraphFont"/>
    <w:link w:val="Quote"/>
    <w:uiPriority w:val="29"/>
    <w:rsid w:val="00EB65AB"/>
    <w:rPr>
      <w:i/>
      <w:iCs/>
      <w:color w:val="404040" w:themeColor="text1" w:themeTint="BF"/>
    </w:rPr>
  </w:style>
  <w:style w:type="paragraph" w:styleId="ListParagraph">
    <w:name w:val="List Paragraph"/>
    <w:basedOn w:val="Normal"/>
    <w:uiPriority w:val="34"/>
    <w:qFormat/>
    <w:rsid w:val="00EB65AB"/>
    <w:pPr>
      <w:ind w:left="720"/>
      <w:contextualSpacing/>
    </w:pPr>
  </w:style>
  <w:style w:type="character" w:styleId="IntenseEmphasis">
    <w:name w:val="Intense Emphasis"/>
    <w:basedOn w:val="DefaultParagraphFont"/>
    <w:uiPriority w:val="21"/>
    <w:qFormat/>
    <w:rsid w:val="00EB65AB"/>
    <w:rPr>
      <w:i/>
      <w:iCs/>
      <w:color w:val="0F4761" w:themeColor="accent1" w:themeShade="BF"/>
    </w:rPr>
  </w:style>
  <w:style w:type="paragraph" w:styleId="IntenseQuote">
    <w:name w:val="Intense Quote"/>
    <w:basedOn w:val="Normal"/>
    <w:next w:val="Normal"/>
    <w:link w:val="IntenseQuoteChar"/>
    <w:uiPriority w:val="30"/>
    <w:qFormat/>
    <w:rsid w:val="00EB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5AB"/>
    <w:rPr>
      <w:i/>
      <w:iCs/>
      <w:color w:val="0F4761" w:themeColor="accent1" w:themeShade="BF"/>
    </w:rPr>
  </w:style>
  <w:style w:type="character" w:styleId="IntenseReference">
    <w:name w:val="Intense Reference"/>
    <w:basedOn w:val="DefaultParagraphFont"/>
    <w:uiPriority w:val="32"/>
    <w:qFormat/>
    <w:rsid w:val="00EB65AB"/>
    <w:rPr>
      <w:b/>
      <w:bCs/>
      <w:smallCaps/>
      <w:color w:val="0F4761" w:themeColor="accent1" w:themeShade="BF"/>
      <w:spacing w:val="5"/>
    </w:rPr>
  </w:style>
  <w:style w:type="paragraph" w:styleId="Header">
    <w:name w:val="header"/>
    <w:basedOn w:val="Normal"/>
    <w:link w:val="HeaderChar"/>
    <w:uiPriority w:val="99"/>
    <w:unhideWhenUsed/>
    <w:rsid w:val="00D17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1F8"/>
  </w:style>
  <w:style w:type="paragraph" w:styleId="Footer">
    <w:name w:val="footer"/>
    <w:basedOn w:val="Normal"/>
    <w:link w:val="FooterChar"/>
    <w:uiPriority w:val="99"/>
    <w:unhideWhenUsed/>
    <w:rsid w:val="00D1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1F8"/>
  </w:style>
  <w:style w:type="paragraph" w:styleId="NormalWeb">
    <w:name w:val="Normal (Web)"/>
    <w:basedOn w:val="Normal"/>
    <w:uiPriority w:val="99"/>
    <w:unhideWhenUsed/>
    <w:rsid w:val="002B1C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B1C93"/>
    <w:rPr>
      <w:b/>
      <w:bCs/>
    </w:rPr>
  </w:style>
  <w:style w:type="table" w:styleId="TableGrid">
    <w:name w:val="Table Grid"/>
    <w:basedOn w:val="TableNormal"/>
    <w:uiPriority w:val="39"/>
    <w:rsid w:val="00B9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2473</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Rodean</dc:creator>
  <cp:keywords/>
  <dc:description/>
  <cp:lastModifiedBy>Rachel Rodean</cp:lastModifiedBy>
  <cp:revision>2</cp:revision>
  <dcterms:created xsi:type="dcterms:W3CDTF">2024-09-05T13:58:00Z</dcterms:created>
  <dcterms:modified xsi:type="dcterms:W3CDTF">2024-09-05T13:58:00Z</dcterms:modified>
</cp:coreProperties>
</file>